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61856e9f88ab9e030b2f689151496a4d0377b"/>
    <w:p>
      <w:pPr>
        <w:pStyle w:val="Heading3"/>
      </w:pPr>
      <w:r>
        <w:t xml:space="preserve">Фонд капремонта Москвы поделился опытом ремонта домов-памятников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t xml:space="preserve">24 сентября в рамках пятого семинара им. А.Г. Векслера состоялся круглый стол «Особенности сохранения и государственной охраны объектов культурного наследия – многоквартирных домов». В прямом эфире эксперты обсудили актуальные вопросы сохранения культурного наследия.</w:t>
      </w:r>
      <w:r>
        <w:br/>
      </w:r>
      <w:r>
        <w:t xml:space="preserve">На мероприятии выступил Сергей Краснов, начальник управления по работе с объектами культурного наследия Фонда капремонта Москвы. Он рассказал об особенностях проведения капитального ремонта в многоквартирных домах-памятниках: «сегодня у нас на службе все новейшие технологии, как для обследования домов, так и для их ремонта, мы делаем все, чтобы сохранить прошлое для будущего», - отметил С. Краснов.</w:t>
      </w:r>
      <w:r>
        <w:br/>
      </w:r>
      <w:r>
        <w:t xml:space="preserve">В Москве накоплен значительный опыт работы с объектами культурного наследия. Что касается работы с такими объектами в рамках региональной программы капитального ремонта, то с начала текущего года 87 проектов капитального ремонта домов-памятников прошли государственную экспертизу, а 30 на данный момент находятся на стадии подготовки. Всего до конца 2020 года планируется передать на согласование 147 проектов.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3d5/kruglyy-stol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http://fond.mos.ru/presscenter/news/detail/9272280.html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9272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9272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2024-08-28T20:54:07Z</dcterms:created>
  <dcterms:modified xsi:type="dcterms:W3CDTF">2024-08-28T20:54:07Z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