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9d47a6fb974838ec60ce9a6b49d65160a5543"/>
    <w:p>
      <w:pPr>
        <w:pStyle w:val="Heading3"/>
      </w:pPr>
      <w:r>
        <w:t xml:space="preserve">Объявлен первый в 2019 году предварительный отбор подрядных организаций на выполнение работ по капремонту в Москве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t xml:space="preserve">Объявлен первый в 2019 году предварительный отбор для включения в реестр квалифицированных подрядных организаций на выполнение работ по капитальному ремонту в столице. Заявки на участие будут приниматься в течение 20 дней, то есть направить их надо до 4 февраля. Результаты будут подведены после 18 февраля. Все организации, успешно прошедшие предварительный отбор будут включены на 3 года в реестр квалифицированных подрядных организаций и смогут участвовать в аукционах на выполнение работ по капитальному ремонту общего имущества многоквартирных домов в городе Москве.</w:t>
      </w:r>
    </w:p>
    <w:p>
      <w:pPr>
        <w:pStyle w:val="BodyText"/>
      </w:pPr>
      <w:r>
        <w:t xml:space="preserve">Документация о проведении предварительных отборов размещается на официальном сайте единой информационной системы закупок в информационно-телекоммуникационной сети "Интернет" http://zakupki.gov.ru/ и на Единой электронной торговой площадке https://www.roseltorg.ru/.</w:t>
      </w:r>
    </w:p>
    <w:p>
      <w:pPr>
        <w:pStyle w:val="BodyText"/>
      </w:pPr>
      <w:r>
        <w:t xml:space="preserve">Для участия в процедуре предварительного отбора юридическому лицу или индивидуальному предпринимателю необходимо подать заявку в электронном виде на Единую электронную торговую площадку https://www.roseltorg.ru/.</w:t>
      </w:r>
    </w:p>
    <w:p>
      <w:pPr>
        <w:pStyle w:val="BodyText"/>
      </w:pPr>
      <w:r>
        <w:t xml:space="preserve">Основными обязательными требованиями к участникам предварительных отборов являются:</w:t>
      </w:r>
    </w:p>
    <w:p>
      <w:pPr>
        <w:pStyle w:val="BodyText"/>
      </w:pPr>
      <w:r>
        <w:t xml:space="preserve">- членство в саморегулируемой организации в области строительства, реконструкции, капитального ремонта объектов капитального строительства и/или архитектурно-строительного проектирования;</w:t>
      </w:r>
    </w:p>
    <w:p>
      <w:pPr>
        <w:pStyle w:val="BodyText"/>
      </w:pPr>
      <w:r>
        <w:t xml:space="preserve">- отсутствие сведений об участнике предварительного отбора в реестре недобросовестных поставщиков (подрядчиков, исполнителей);</w:t>
      </w:r>
    </w:p>
    <w:p>
      <w:pPr>
        <w:pStyle w:val="BodyText"/>
      </w:pPr>
      <w:r>
        <w:t xml:space="preserve">- отсутствие у участника предварительного отбора задолженности по уплате налогов, сборов и иных обязательных платежей в бюджеты бюджетной системы Российской Федерации;</w:t>
      </w:r>
    </w:p>
    <w:p>
      <w:pPr>
        <w:pStyle w:val="BodyText"/>
      </w:pPr>
      <w:r>
        <w:t xml:space="preserve">- наличие у участника предварительного отбора в штате квалифицированного персонала;</w:t>
      </w:r>
    </w:p>
    <w:p>
      <w:pPr>
        <w:pStyle w:val="BodyText"/>
      </w:pPr>
      <w:r>
        <w:t xml:space="preserve">- наличие у участника предварительного отбора опыта выполнения работ по строительству, реконструкции и капитальному ремонту зданий, являющихся объектами капитального строительства.</w:t>
      </w:r>
    </w:p>
    <w:p>
      <w:pPr>
        <w:pStyle w:val="BodyText"/>
      </w:pPr>
      <w:r>
        <w:t xml:space="preserve">Более подробные условия участия в предварительных отборах, а также требования к содержанию документов, входящих в состав заявки на участие в таких процедурах, указаны в соответствующих документациях.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http://fond.mos.ru/presscenter/news/detail/7837294.html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news/detail/7837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news/detail/7837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2025-07-29T06:14:20Z</dcterms:created>
  <dcterms:modified xsi:type="dcterms:W3CDTF">2025-07-29T06:14:20Z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